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D24B" w14:textId="08EF8A5D" w:rsidR="0085145F" w:rsidRPr="0042527D" w:rsidRDefault="0085145F" w:rsidP="00067144">
      <w:pPr>
        <w:pStyle w:val="Heading1"/>
        <w:jc w:val="both"/>
        <w:rPr>
          <w:lang w:val="pt-BR"/>
        </w:rPr>
      </w:pPr>
      <w:bookmarkStart w:id="0" w:name="_Toc166741022"/>
      <w:r w:rsidRPr="0042527D">
        <w:rPr>
          <w:lang w:val="pt-BR"/>
        </w:rPr>
        <w:t>MA TRẬN CẢNH QUAN</w:t>
      </w:r>
      <w:bookmarkEnd w:id="0"/>
    </w:p>
    <w:p w14:paraId="3D1B7551" w14:textId="77777777" w:rsidR="0085145F" w:rsidRPr="0042527D" w:rsidRDefault="0085145F" w:rsidP="0085145F">
      <w:pPr>
        <w:spacing w:before="60" w:line="240" w:lineRule="auto"/>
        <w:ind w:firstLine="0"/>
        <w:rPr>
          <w:rStyle w:val="y2iqfc"/>
          <w:sz w:val="28"/>
          <w:szCs w:val="28"/>
          <w:lang w:val="vi-VN"/>
        </w:rPr>
      </w:pPr>
      <w:r w:rsidRPr="0042527D">
        <w:rPr>
          <w:rStyle w:val="y2iqfc"/>
          <w:sz w:val="28"/>
          <w:szCs w:val="28"/>
          <w:lang w:val="pt-BR"/>
        </w:rPr>
        <w:t>đơn vị</w:t>
      </w:r>
      <w:r w:rsidRPr="0042527D">
        <w:rPr>
          <w:rStyle w:val="y2iqfc"/>
          <w:sz w:val="28"/>
          <w:szCs w:val="28"/>
          <w:lang w:val="vi-VN"/>
        </w:rPr>
        <w:t xml:space="preserve"> </w:t>
      </w:r>
      <w:r w:rsidRPr="0042527D">
        <w:rPr>
          <w:rStyle w:val="y2iqfc"/>
          <w:sz w:val="28"/>
          <w:szCs w:val="28"/>
          <w:lang w:val="pt-BR"/>
        </w:rPr>
        <w:t xml:space="preserve">cơ bản </w:t>
      </w:r>
      <w:r w:rsidRPr="0042527D">
        <w:rPr>
          <w:rStyle w:val="y2iqfc"/>
          <w:sz w:val="28"/>
          <w:szCs w:val="28"/>
          <w:lang w:val="vi-VN"/>
        </w:rPr>
        <w:t>rộng lớn nhất và được kết nối nhiều nhất</w:t>
      </w:r>
      <w:r w:rsidRPr="0042527D">
        <w:rPr>
          <w:rStyle w:val="y2iqfc"/>
          <w:sz w:val="28"/>
          <w:szCs w:val="28"/>
          <w:lang w:val="pt-BR"/>
        </w:rPr>
        <w:t xml:space="preserve"> giữa các mảnh, hành lang,</w:t>
      </w:r>
      <w:r w:rsidRPr="0042527D">
        <w:rPr>
          <w:rStyle w:val="y2iqfc"/>
          <w:sz w:val="28"/>
          <w:szCs w:val="28"/>
          <w:lang w:val="vi-VN"/>
        </w:rPr>
        <w:t xml:space="preserve"> đóng vai trò chủ đạo trong hoạt động của cảnh quan. </w:t>
      </w:r>
    </w:p>
    <w:p w14:paraId="617077D2" w14:textId="77777777" w:rsidR="0085145F" w:rsidRPr="0042527D" w:rsidRDefault="0085145F" w:rsidP="0085145F">
      <w:pPr>
        <w:spacing w:before="60" w:line="240" w:lineRule="auto"/>
        <w:ind w:firstLine="567"/>
        <w:rPr>
          <w:b/>
          <w:sz w:val="28"/>
          <w:szCs w:val="28"/>
          <w:lang w:val="pt-BR"/>
        </w:rPr>
      </w:pPr>
      <w:r w:rsidRPr="0042527D">
        <w:rPr>
          <w:rStyle w:val="y2iqfc"/>
          <w:sz w:val="28"/>
          <w:szCs w:val="28"/>
          <w:lang w:val="vi-VN"/>
        </w:rPr>
        <w:t>Đặc điểm cấu trúc của ma trận cảnh quan được thể hiện trên bản đồ cảnh quan thông qua các đặc điểm như: mật độ của các mảnh, hình dạng, ranh giới, mạng lưới và tính không đồng nhất của các đơn vị cảnh quan. Có ba loại ma trận: ma trận liên tục với một loại phần tử duy nhất chiếm ưu thế; ma trận không liên tục với một vài loại phần tử đồng trội và ma trận dạng lưới với các hành lang kết nối theo chức năng chủ đạo của cảnh quan.</w:t>
      </w:r>
    </w:p>
    <w:p w14:paraId="32B19380" w14:textId="77777777" w:rsidR="0085145F" w:rsidRPr="0042527D" w:rsidRDefault="0085145F" w:rsidP="0085145F">
      <w:pPr>
        <w:spacing w:before="60" w:line="240" w:lineRule="auto"/>
        <w:ind w:firstLine="567"/>
        <w:rPr>
          <w:rFonts w:eastAsia="Times New Roman"/>
          <w:sz w:val="28"/>
          <w:szCs w:val="28"/>
          <w:lang w:val="vi-VN"/>
        </w:rPr>
      </w:pPr>
      <w:r w:rsidRPr="0042527D">
        <w:rPr>
          <w:rFonts w:eastAsia="Times New Roman"/>
          <w:sz w:val="28"/>
          <w:szCs w:val="28"/>
          <w:lang w:val="vi-VN"/>
        </w:rPr>
        <w:t xml:space="preserve">Khả năng kết nối </w:t>
      </w:r>
      <w:r w:rsidRPr="0042527D">
        <w:rPr>
          <w:rFonts w:eastAsia="Times New Roman"/>
          <w:sz w:val="28"/>
          <w:szCs w:val="28"/>
          <w:lang w:val="pt-BR"/>
        </w:rPr>
        <w:t xml:space="preserve">trong MTCQ </w:t>
      </w:r>
      <w:r w:rsidRPr="0042527D">
        <w:rPr>
          <w:rFonts w:eastAsia="Times New Roman"/>
          <w:sz w:val="28"/>
          <w:szCs w:val="28"/>
          <w:lang w:val="vi-VN"/>
        </w:rPr>
        <w:t xml:space="preserve">là thước đo mức độ kết nối hoặc </w:t>
      </w:r>
      <w:r w:rsidRPr="0042527D">
        <w:rPr>
          <w:rFonts w:eastAsia="Times New Roman"/>
          <w:sz w:val="28"/>
          <w:szCs w:val="28"/>
          <w:lang w:val="pt-BR"/>
        </w:rPr>
        <w:t xml:space="preserve">tính </w:t>
      </w:r>
      <w:r w:rsidRPr="0042527D">
        <w:rPr>
          <w:rFonts w:eastAsia="Times New Roman"/>
          <w:sz w:val="28"/>
          <w:szCs w:val="28"/>
          <w:lang w:val="vi-VN"/>
        </w:rPr>
        <w:t>liên tục</w:t>
      </w:r>
      <w:r w:rsidRPr="0042527D">
        <w:rPr>
          <w:rFonts w:eastAsia="Times New Roman"/>
          <w:sz w:val="28"/>
          <w:szCs w:val="28"/>
          <w:lang w:val="pt-BR"/>
        </w:rPr>
        <w:t>, không liên tục</w:t>
      </w:r>
      <w:r w:rsidRPr="0042527D">
        <w:rPr>
          <w:rFonts w:eastAsia="Times New Roman"/>
          <w:sz w:val="28"/>
          <w:szCs w:val="28"/>
          <w:lang w:val="vi-VN"/>
        </w:rPr>
        <w:t xml:space="preserve"> trong không gian của </w:t>
      </w:r>
      <w:r w:rsidRPr="0042527D">
        <w:rPr>
          <w:rFonts w:eastAsia="Times New Roman"/>
          <w:sz w:val="28"/>
          <w:szCs w:val="28"/>
          <w:lang w:val="pt-BR"/>
        </w:rPr>
        <w:t xml:space="preserve">các </w:t>
      </w:r>
      <w:r w:rsidRPr="0042527D">
        <w:rPr>
          <w:rFonts w:eastAsia="Times New Roman"/>
          <w:sz w:val="28"/>
          <w:szCs w:val="28"/>
          <w:lang w:val="vi-VN"/>
        </w:rPr>
        <w:t>hành lang</w:t>
      </w:r>
      <w:r w:rsidRPr="0042527D">
        <w:rPr>
          <w:rFonts w:eastAsia="Times New Roman"/>
          <w:sz w:val="28"/>
          <w:szCs w:val="28"/>
          <w:lang w:val="pt-BR"/>
        </w:rPr>
        <w:t xml:space="preserve"> và các</w:t>
      </w:r>
      <w:r w:rsidRPr="0042527D">
        <w:rPr>
          <w:rFonts w:eastAsia="Times New Roman"/>
          <w:sz w:val="28"/>
          <w:szCs w:val="28"/>
          <w:lang w:val="vi-VN"/>
        </w:rPr>
        <w:t xml:space="preserve"> m</w:t>
      </w:r>
      <w:r w:rsidRPr="0042527D">
        <w:rPr>
          <w:rFonts w:eastAsia="Times New Roman"/>
          <w:sz w:val="28"/>
          <w:szCs w:val="28"/>
          <w:lang w:val="pt-BR"/>
        </w:rPr>
        <w:t>ả</w:t>
      </w:r>
      <w:r w:rsidRPr="0042527D">
        <w:rPr>
          <w:rFonts w:eastAsia="Times New Roman"/>
          <w:sz w:val="28"/>
          <w:szCs w:val="28"/>
          <w:lang w:val="vi-VN"/>
        </w:rPr>
        <w:t>n</w:t>
      </w:r>
      <w:r w:rsidRPr="0042527D">
        <w:rPr>
          <w:rFonts w:eastAsia="Times New Roman"/>
          <w:sz w:val="28"/>
          <w:szCs w:val="28"/>
          <w:lang w:val="pt-BR"/>
        </w:rPr>
        <w:t>h trong MTCQ đó</w:t>
      </w:r>
      <w:r w:rsidRPr="0042527D">
        <w:rPr>
          <w:rFonts w:eastAsia="Times New Roman"/>
          <w:sz w:val="28"/>
          <w:szCs w:val="28"/>
          <w:lang w:val="vi-VN"/>
        </w:rPr>
        <w:t>. Vd. cảnh quan rừng với ít</w:t>
      </w:r>
      <w:bookmarkStart w:id="1" w:name="_GoBack"/>
      <w:bookmarkEnd w:id="1"/>
      <w:r w:rsidRPr="0042527D">
        <w:rPr>
          <w:rFonts w:eastAsia="Times New Roman"/>
          <w:sz w:val="28"/>
          <w:szCs w:val="28"/>
          <w:lang w:val="vi-VN"/>
        </w:rPr>
        <w:t xml:space="preserve"> khoảng trống (các khoảnh đất trống) sẽ thể hiện tính kết nối cao hơn. Hành lang là dạng dải của một loại cảnh quan cụ thể sự kết nối lại thể hiện mức độ liên kết với các mảnh liền kề ở hai phía. Mạng là một hệ thống các hành lang được kết nối với nhau, đồng thời kết nối với các mảnh trong một ma trận tổng hợp tạo thành một cảnh quan toàn vẹn. </w:t>
      </w:r>
    </w:p>
    <w:p w14:paraId="617451AA" w14:textId="77777777" w:rsidR="0085145F" w:rsidRPr="0042527D" w:rsidRDefault="0085145F" w:rsidP="0085145F">
      <w:pPr>
        <w:spacing w:before="60" w:line="240" w:lineRule="auto"/>
        <w:ind w:firstLine="567"/>
        <w:rPr>
          <w:rFonts w:eastAsia="Times New Roman"/>
          <w:sz w:val="28"/>
          <w:szCs w:val="28"/>
          <w:lang w:val="vi-VN"/>
        </w:rPr>
      </w:pPr>
      <w:r w:rsidRPr="0042527D">
        <w:rPr>
          <w:rStyle w:val="y2iqfc"/>
          <w:sz w:val="28"/>
          <w:szCs w:val="28"/>
          <w:lang w:val="vi-VN"/>
        </w:rPr>
        <w:t>MTCQ thường bao gồm một số loại yếu tố thành phần của cảnh quan (thường là các đơn vị cơ sở, mảnh, hành lang). Vd. trong một khu vực rộng lớn tiếp giáp của rừng trưởng thành với nhiều mảng xáo trộn nhỏ như các khoảnh khai thác gỗ. Trong đó rừng trưởng thành có chức năng tạo thành loại yếu tố ma trận vì nó lớn nhất về mặt diện tích phân bố, chủ yếu là liên kết với nhau qua các hành lang và có ảnh hưởng và chức năng lớn, mang tính chi phối đến các quần thể động thực vật và các quá trình sinh thái tại đó.</w:t>
      </w:r>
    </w:p>
    <w:p w14:paraId="466DE17E" w14:textId="77777777" w:rsidR="0085145F" w:rsidRPr="0042527D" w:rsidRDefault="0085145F" w:rsidP="0085145F">
      <w:pPr>
        <w:spacing w:before="60" w:line="240" w:lineRule="auto"/>
        <w:ind w:firstLine="567"/>
        <w:rPr>
          <w:rStyle w:val="y2iqfc"/>
          <w:sz w:val="28"/>
          <w:szCs w:val="28"/>
          <w:lang w:val="vi-VN"/>
        </w:rPr>
      </w:pPr>
      <w:r w:rsidRPr="0042527D">
        <w:rPr>
          <w:rStyle w:val="y2iqfc"/>
          <w:sz w:val="28"/>
          <w:szCs w:val="28"/>
          <w:lang w:val="vi-VN"/>
        </w:rPr>
        <w:t xml:space="preserve">Tuy nhiên, trong một số cảnh quan tại một thời điểm nhất định, yếu tố ma trận  không  rõ ràng và không thích hợp khi coi bất kỳ loại kết nối nào cũng là </w:t>
      </w:r>
      <w:r w:rsidRPr="0042527D">
        <w:rPr>
          <w:rFonts w:eastAsia="Times New Roman"/>
          <w:sz w:val="28"/>
          <w:szCs w:val="28"/>
          <w:lang w:val="vi-VN"/>
        </w:rPr>
        <w:t>MTCQ</w:t>
      </w:r>
      <w:r w:rsidRPr="0042527D">
        <w:rPr>
          <w:rStyle w:val="y2iqfc"/>
          <w:sz w:val="28"/>
          <w:szCs w:val="28"/>
          <w:lang w:val="vi-VN"/>
        </w:rPr>
        <w:t xml:space="preserve">. Việc xác định </w:t>
      </w:r>
      <w:r w:rsidRPr="0042527D">
        <w:rPr>
          <w:rFonts w:eastAsia="Times New Roman"/>
          <w:sz w:val="28"/>
          <w:szCs w:val="28"/>
          <w:lang w:val="vi-VN"/>
        </w:rPr>
        <w:t>MTCQ</w:t>
      </w:r>
      <w:r w:rsidRPr="0042527D">
        <w:rPr>
          <w:rStyle w:val="y2iqfc"/>
          <w:sz w:val="28"/>
          <w:szCs w:val="28"/>
          <w:lang w:val="vi-VN"/>
        </w:rPr>
        <w:t xml:space="preserve"> phần lớn phụ thuộc vào hiện tượng đang được xem xét. Vd. trong nghiên cứu các quá trình địa mạo, nền địa chất có thể dùng để xác định ma trận và các mảnh; trong khi đó, trong nghiên cứu các quần thể động vật có xương sống, cấu trúc thảm thực vật có thể dùng để xác định ma trận và các mảnh (</w:t>
      </w:r>
      <w:r w:rsidRPr="0042527D">
        <w:rPr>
          <w:rStyle w:val="y2iqfc"/>
          <w:i/>
          <w:sz w:val="28"/>
          <w:szCs w:val="28"/>
          <w:lang w:val="vi-VN"/>
        </w:rPr>
        <w:t>xt. mục các đơn vị cơ bản của sinh thái cảnh quan</w:t>
      </w:r>
      <w:r w:rsidRPr="0042527D">
        <w:rPr>
          <w:rStyle w:val="y2iqfc"/>
          <w:sz w:val="28"/>
          <w:szCs w:val="28"/>
          <w:lang w:val="vi-VN"/>
        </w:rPr>
        <w:t xml:space="preserve">). Ngoài ra, những yếu tố cấu thành  </w:t>
      </w:r>
      <w:r w:rsidRPr="0042527D">
        <w:rPr>
          <w:rFonts w:eastAsia="Times New Roman"/>
          <w:sz w:val="28"/>
          <w:szCs w:val="28"/>
          <w:lang w:val="vi-VN"/>
        </w:rPr>
        <w:t>MTCQ</w:t>
      </w:r>
      <w:r w:rsidRPr="0042527D">
        <w:rPr>
          <w:rStyle w:val="y2iqfc"/>
          <w:sz w:val="28"/>
          <w:szCs w:val="28"/>
          <w:lang w:val="vi-VN"/>
        </w:rPr>
        <w:t xml:space="preserve">  phụ thuộc vào quy mô điều tra hoặc quy mô quản lý. Vd. ở một quy mô nhỏ cụ thể  trên đất lâm nghiệp, rừng trưởng thành có thể trở thành cốt lõi của  </w:t>
      </w:r>
      <w:r w:rsidRPr="0042527D">
        <w:rPr>
          <w:rFonts w:eastAsia="Times New Roman"/>
          <w:sz w:val="28"/>
          <w:szCs w:val="28"/>
          <w:lang w:val="vi-VN"/>
        </w:rPr>
        <w:t>MTCQ</w:t>
      </w:r>
      <w:r w:rsidRPr="0042527D">
        <w:rPr>
          <w:rStyle w:val="y2iqfc"/>
          <w:sz w:val="28"/>
          <w:szCs w:val="28"/>
          <w:lang w:val="vi-VN"/>
        </w:rPr>
        <w:t xml:space="preserve"> với các mảnh xáo trộn được lồng vào bên trong; trong khi đó, ở quy mô lớn hơn, đất nông nghiệp có thể tạo thành ma trận với các khoảnh rừng trưởng thành nằm bên trong.</w:t>
      </w:r>
      <w:r w:rsidRPr="0042527D">
        <w:rPr>
          <w:sz w:val="28"/>
          <w:szCs w:val="28"/>
          <w:lang w:val="vi-VN"/>
        </w:rPr>
        <w:t> </w:t>
      </w:r>
    </w:p>
    <w:p w14:paraId="0070667C" w14:textId="77777777" w:rsidR="0085145F" w:rsidRPr="0042527D" w:rsidRDefault="0085145F" w:rsidP="0085145F">
      <w:pPr>
        <w:spacing w:before="60" w:line="240" w:lineRule="auto"/>
        <w:ind w:firstLine="567"/>
        <w:rPr>
          <w:rStyle w:val="y2iqfc"/>
          <w:sz w:val="28"/>
          <w:szCs w:val="28"/>
          <w:lang w:val="vi-VN"/>
        </w:rPr>
      </w:pPr>
      <w:r w:rsidRPr="0042527D">
        <w:rPr>
          <w:rStyle w:val="y2iqfc"/>
          <w:sz w:val="28"/>
          <w:szCs w:val="28"/>
          <w:lang w:val="vi-VN"/>
        </w:rPr>
        <w:t xml:space="preserve">Ở Việt Nam, khoa học cảnh quan bắt đầu được nghiên cứu từ thập kỷ 70 của thế kỷ XX. Do điều kiện khi đó, ở giai đoạn đầu các nghiên cứu cảnh quan chủ yếu được áp dụng theo trường phái cảnh quan Xô Viết, </w:t>
      </w:r>
      <w:r w:rsidRPr="0042527D">
        <w:rPr>
          <w:sz w:val="28"/>
          <w:szCs w:val="28"/>
          <w:lang w:val="vi-VN"/>
        </w:rPr>
        <w:t>coi cảnh quan là một thực thể tồn tại khách quan trong tự nhiên, có mối liên kết chặt chẽ giữa các hợp phần của tự nhiên - các nhân tố thành tạo, có các chỉ tiêu và sự phân định rõ ràng giữa các cấp bậc phân vị trong một hệ thống phân loại riêng biệt tùy theo vùng lãnh thổ. Hầu như  rất ít chú ý đến các cảnh quan nhân tạo như các trường phái nghiên cứu của Châu Âu và Mỹ cho rằng c</w:t>
      </w:r>
      <w:r w:rsidRPr="0042527D">
        <w:rPr>
          <w:rStyle w:val="notranslate"/>
          <w:sz w:val="28"/>
          <w:szCs w:val="28"/>
          <w:shd w:val="clear" w:color="auto" w:fill="FFFFFF"/>
          <w:lang w:val="vi-VN"/>
        </w:rPr>
        <w:t xml:space="preserve">ảnh quan không nhất thiết phải được phân loại </w:t>
      </w:r>
      <w:r w:rsidRPr="0042527D">
        <w:rPr>
          <w:rStyle w:val="notranslate"/>
          <w:sz w:val="28"/>
          <w:szCs w:val="28"/>
          <w:shd w:val="clear" w:color="auto" w:fill="FFFFFF"/>
          <w:lang w:val="vi-VN"/>
        </w:rPr>
        <w:lastRenderedPageBreak/>
        <w:t xml:space="preserve">là "tự nhiên" hoặc "văn hóa" bởi vì rất khó có cảnh quan tự nhiên thuần túy mà không chịu tác động của con người. Chính vì thế mà các khái niệm của sinh thái cảnh quan như </w:t>
      </w:r>
      <w:r w:rsidRPr="0042527D">
        <w:rPr>
          <w:rStyle w:val="y2iqfc"/>
          <w:sz w:val="28"/>
          <w:szCs w:val="28"/>
          <w:lang w:val="vi-VN"/>
        </w:rPr>
        <w:t xml:space="preserve">MTCQ chưa được quan tâm. Những thập kỷ gần đây </w:t>
      </w:r>
      <w:r w:rsidRPr="0042527D">
        <w:rPr>
          <w:sz w:val="28"/>
          <w:szCs w:val="28"/>
          <w:lang w:val="vi-VN"/>
        </w:rPr>
        <w:t>các nhà cảnh quan học đã chú ý vận dụng khái niệm của sinh thái cảnh quan để nghiên cứu, đánh giá sinh thái cảnh quan, phân tích cấu trúc mô hình hệ sinh thái phục vụ phát triển kinh tế - xã hội và bảo vệ đa dạng sinh học, môi trường ở Việt Nam.</w:t>
      </w:r>
      <w:r w:rsidRPr="0042527D">
        <w:rPr>
          <w:rStyle w:val="y2iqfc"/>
          <w:sz w:val="28"/>
          <w:szCs w:val="28"/>
          <w:lang w:val="vi-VN"/>
        </w:rPr>
        <w:t xml:space="preserve"> </w:t>
      </w:r>
    </w:p>
    <w:p w14:paraId="73185000" w14:textId="77777777" w:rsidR="0085145F" w:rsidRPr="00634DB1" w:rsidRDefault="0085145F" w:rsidP="0085145F">
      <w:pPr>
        <w:spacing w:line="240" w:lineRule="auto"/>
        <w:ind w:left="1440" w:hanging="1440"/>
        <w:jc w:val="right"/>
        <w:rPr>
          <w:rFonts w:eastAsia="Times New Roman"/>
          <w:b/>
          <w:sz w:val="20"/>
          <w:szCs w:val="20"/>
        </w:rPr>
      </w:pPr>
      <w:r w:rsidRPr="00634DB1">
        <w:rPr>
          <w:rFonts w:eastAsia="Times New Roman"/>
          <w:b/>
          <w:sz w:val="20"/>
          <w:szCs w:val="20"/>
          <w:lang w:val="vi-VN"/>
        </w:rPr>
        <w:t xml:space="preserve">                                                                                                                    </w:t>
      </w:r>
      <w:r w:rsidRPr="00634DB1">
        <w:rPr>
          <w:rFonts w:eastAsia="Times New Roman"/>
          <w:b/>
          <w:sz w:val="20"/>
          <w:szCs w:val="20"/>
        </w:rPr>
        <w:t>LẠI VĨNH CẨM</w:t>
      </w:r>
    </w:p>
    <w:p w14:paraId="06C20F9C" w14:textId="77777777" w:rsidR="0085145F" w:rsidRPr="0042527D" w:rsidRDefault="0085145F" w:rsidP="0085145F">
      <w:pPr>
        <w:spacing w:line="240" w:lineRule="auto"/>
        <w:ind w:left="1440" w:hanging="1440"/>
        <w:rPr>
          <w:rFonts w:eastAsia="Times New Roman"/>
          <w:b/>
          <w:sz w:val="24"/>
          <w:szCs w:val="24"/>
        </w:rPr>
      </w:pPr>
      <w:r w:rsidRPr="0042527D">
        <w:rPr>
          <w:rFonts w:eastAsia="Times New Roman"/>
          <w:b/>
          <w:sz w:val="24"/>
          <w:szCs w:val="24"/>
        </w:rPr>
        <w:t>Tài liệu tham khảo:</w:t>
      </w:r>
    </w:p>
    <w:p w14:paraId="5DDD7936" w14:textId="77777777" w:rsidR="0085145F" w:rsidRPr="0042527D" w:rsidRDefault="0085145F" w:rsidP="0085145F">
      <w:pPr>
        <w:spacing w:line="264" w:lineRule="auto"/>
        <w:ind w:firstLine="357"/>
        <w:rPr>
          <w:rFonts w:eastAsia="Times New Roman"/>
          <w:kern w:val="36"/>
          <w:sz w:val="24"/>
          <w:szCs w:val="24"/>
        </w:rPr>
      </w:pPr>
      <w:r w:rsidRPr="0042527D">
        <w:rPr>
          <w:rFonts w:eastAsia="Times New Roman"/>
          <w:kern w:val="36"/>
          <w:sz w:val="24"/>
          <w:szCs w:val="24"/>
        </w:rPr>
        <w:t xml:space="preserve">1. Forman, R.T.T. and Godron, M., </w:t>
      </w:r>
      <w:r w:rsidRPr="0042527D">
        <w:rPr>
          <w:rFonts w:eastAsia="Times New Roman"/>
          <w:i/>
          <w:kern w:val="36"/>
          <w:sz w:val="24"/>
          <w:szCs w:val="24"/>
        </w:rPr>
        <w:t>Landscape ecology</w:t>
      </w:r>
      <w:r w:rsidRPr="0042527D">
        <w:rPr>
          <w:rFonts w:eastAsia="Times New Roman"/>
          <w:kern w:val="36"/>
          <w:sz w:val="24"/>
          <w:szCs w:val="24"/>
        </w:rPr>
        <w:t>, Chichester: Wiley, 1986.</w:t>
      </w:r>
    </w:p>
    <w:p w14:paraId="147FE689" w14:textId="77777777" w:rsidR="0085145F" w:rsidRPr="0042527D" w:rsidRDefault="0085145F" w:rsidP="0085145F">
      <w:pPr>
        <w:spacing w:line="264" w:lineRule="auto"/>
        <w:ind w:firstLine="357"/>
        <w:rPr>
          <w:rFonts w:eastAsia="Times New Roman"/>
          <w:bCs w:val="0"/>
          <w:kern w:val="36"/>
          <w:sz w:val="24"/>
          <w:szCs w:val="24"/>
        </w:rPr>
      </w:pPr>
      <w:r w:rsidRPr="0042527D">
        <w:rPr>
          <w:rFonts w:eastAsia="Times New Roman"/>
          <w:kern w:val="36"/>
          <w:sz w:val="24"/>
          <w:szCs w:val="24"/>
        </w:rPr>
        <w:t xml:space="preserve">2. Gierlowski-Kordesch, E. and Kelts, K., editors, </w:t>
      </w:r>
      <w:r w:rsidRPr="0042527D">
        <w:rPr>
          <w:rFonts w:eastAsia="Times New Roman"/>
          <w:i/>
          <w:kern w:val="36"/>
          <w:sz w:val="24"/>
          <w:szCs w:val="24"/>
        </w:rPr>
        <w:t>Global geological record of lake basins</w:t>
      </w:r>
      <w:r w:rsidRPr="0042527D">
        <w:rPr>
          <w:rFonts w:eastAsia="Times New Roman"/>
          <w:kern w:val="36"/>
          <w:sz w:val="24"/>
          <w:szCs w:val="24"/>
        </w:rPr>
        <w:t>. Volume I, Cambridge, Cambridge University Press, 1994.</w:t>
      </w:r>
    </w:p>
    <w:p w14:paraId="09BBC80D" w14:textId="77777777" w:rsidR="0085145F" w:rsidRPr="00067144" w:rsidRDefault="0085145F" w:rsidP="0085145F">
      <w:pPr>
        <w:spacing w:line="264" w:lineRule="auto"/>
        <w:ind w:firstLine="357"/>
        <w:rPr>
          <w:rFonts w:eastAsia="Times New Roman"/>
          <w:kern w:val="36"/>
          <w:sz w:val="24"/>
          <w:szCs w:val="24"/>
        </w:rPr>
      </w:pPr>
      <w:r w:rsidRPr="0042527D">
        <w:rPr>
          <w:rFonts w:eastAsia="Times New Roman"/>
          <w:kern w:val="36"/>
          <w:sz w:val="24"/>
          <w:szCs w:val="24"/>
        </w:rPr>
        <w:t xml:space="preserve">3. Ingegnoli V, </w:t>
      </w:r>
      <w:r w:rsidRPr="00067144">
        <w:rPr>
          <w:rFonts w:eastAsia="Times New Roman"/>
          <w:i/>
          <w:kern w:val="36"/>
          <w:sz w:val="24"/>
          <w:szCs w:val="24"/>
        </w:rPr>
        <w:t>Landscape Ecology: A Widening Foundation</w:t>
      </w:r>
      <w:r w:rsidRPr="00067144">
        <w:rPr>
          <w:rFonts w:eastAsia="Times New Roman"/>
          <w:kern w:val="36"/>
          <w:sz w:val="24"/>
          <w:szCs w:val="24"/>
        </w:rPr>
        <w:t>, Springer-Verlag, Berlin, Heidelberg, New York, 2002.</w:t>
      </w:r>
    </w:p>
    <w:p w14:paraId="03F649A2" w14:textId="77777777" w:rsidR="0085145F" w:rsidRPr="00067144" w:rsidRDefault="0085145F" w:rsidP="0085145F">
      <w:pPr>
        <w:spacing w:line="264" w:lineRule="auto"/>
        <w:ind w:firstLine="357"/>
        <w:rPr>
          <w:sz w:val="24"/>
          <w:szCs w:val="24"/>
        </w:rPr>
      </w:pPr>
      <w:r w:rsidRPr="00067144">
        <w:rPr>
          <w:sz w:val="24"/>
          <w:szCs w:val="24"/>
          <w:shd w:val="clear" w:color="auto" w:fill="FCFCFC"/>
        </w:rPr>
        <w:t xml:space="preserve">4. Alagador D, Triviño M, Cerdeira J, Brás R, Cabeza M, Araújo M. </w:t>
      </w:r>
      <w:r w:rsidRPr="00067144">
        <w:rPr>
          <w:i/>
          <w:sz w:val="24"/>
          <w:szCs w:val="24"/>
          <w:shd w:val="clear" w:color="auto" w:fill="FCFCFC"/>
        </w:rPr>
        <w:t xml:space="preserve">Linking like with like: optimising connectivity between environmentally-similar habitats, </w:t>
      </w:r>
      <w:r w:rsidRPr="00067144">
        <w:rPr>
          <w:sz w:val="24"/>
          <w:szCs w:val="24"/>
          <w:shd w:val="clear" w:color="auto" w:fill="FCFCFC"/>
        </w:rPr>
        <w:t>Landsc Ecol, 27(2):291–301, 2012, </w:t>
      </w:r>
      <w:hyperlink r:id="rId4" w:history="1">
        <w:r w:rsidRPr="00067144">
          <w:rPr>
            <w:rStyle w:val="Hyperlink"/>
            <w:color w:val="auto"/>
            <w:sz w:val="24"/>
            <w:szCs w:val="24"/>
            <w:u w:val="none"/>
            <w:shd w:val="clear" w:color="auto" w:fill="FCFCFC"/>
          </w:rPr>
          <w:t>https://doi.org/10.1007/s10980-012-9704-9</w:t>
        </w:r>
      </w:hyperlink>
      <w:r w:rsidRPr="00067144">
        <w:rPr>
          <w:rStyle w:val="Hyperlink"/>
          <w:color w:val="auto"/>
          <w:sz w:val="24"/>
          <w:szCs w:val="24"/>
          <w:u w:val="none"/>
          <w:shd w:val="clear" w:color="auto" w:fill="FCFCFC"/>
        </w:rPr>
        <w:t>.</w:t>
      </w:r>
    </w:p>
    <w:p w14:paraId="1A737417" w14:textId="77777777" w:rsidR="0085145F" w:rsidRPr="00067144" w:rsidRDefault="0085145F" w:rsidP="0085145F">
      <w:pPr>
        <w:spacing w:line="264" w:lineRule="auto"/>
        <w:ind w:firstLine="357"/>
        <w:rPr>
          <w:sz w:val="24"/>
          <w:szCs w:val="24"/>
          <w:shd w:val="clear" w:color="auto" w:fill="FCFCFC"/>
        </w:rPr>
      </w:pPr>
      <w:r w:rsidRPr="00067144">
        <w:rPr>
          <w:sz w:val="24"/>
          <w:szCs w:val="24"/>
          <w:shd w:val="clear" w:color="auto" w:fill="FCFCFC"/>
        </w:rPr>
        <w:t xml:space="preserve">5. Breckheimer I, Milt A, </w:t>
      </w:r>
      <w:r w:rsidRPr="00067144">
        <w:rPr>
          <w:i/>
          <w:sz w:val="24"/>
          <w:szCs w:val="24"/>
          <w:shd w:val="clear" w:color="auto" w:fill="FCFCFC"/>
        </w:rPr>
        <w:t>Connect: landscape connectivity modeling toolbox</w:t>
      </w:r>
      <w:r w:rsidRPr="00067144">
        <w:rPr>
          <w:sz w:val="24"/>
          <w:szCs w:val="24"/>
          <w:shd w:val="clear" w:color="auto" w:fill="FCFCFC"/>
        </w:rPr>
        <w:t>, Department of Geography, University of North Carolina, 2012.</w:t>
      </w:r>
    </w:p>
    <w:p w14:paraId="3D9E1545" w14:textId="77777777" w:rsidR="007252EE" w:rsidRPr="00067144" w:rsidRDefault="007252EE"/>
    <w:sectPr w:rsidR="007252EE" w:rsidRPr="00067144"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5F"/>
    <w:rsid w:val="00067144"/>
    <w:rsid w:val="000D735A"/>
    <w:rsid w:val="002F6C45"/>
    <w:rsid w:val="00503FBC"/>
    <w:rsid w:val="006A7B17"/>
    <w:rsid w:val="007252EE"/>
    <w:rsid w:val="0085145F"/>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2E01"/>
  <w15:chartTrackingRefBased/>
  <w15:docId w15:val="{158CB4E9-0859-498E-BA52-EFE7DB68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45F"/>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85145F"/>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5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Hyperlink">
    <w:name w:val="Hyperlink"/>
    <w:basedOn w:val="DefaultParagraphFont"/>
    <w:uiPriority w:val="99"/>
    <w:unhideWhenUsed/>
    <w:qFormat/>
    <w:rsid w:val="0085145F"/>
    <w:rPr>
      <w:color w:val="0000FF"/>
      <w:u w:val="single"/>
    </w:rPr>
  </w:style>
  <w:style w:type="character" w:customStyle="1" w:styleId="y2iqfc">
    <w:name w:val="y2iqfc"/>
    <w:basedOn w:val="DefaultParagraphFont"/>
    <w:rsid w:val="0085145F"/>
  </w:style>
  <w:style w:type="character" w:customStyle="1" w:styleId="notranslate">
    <w:name w:val="notranslate"/>
    <w:basedOn w:val="DefaultParagraphFont"/>
    <w:rsid w:val="0085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10980-012-97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2025-12-08T06:05:00Z</dcterms:created>
  <dcterms:modified xsi:type="dcterms:W3CDTF">2025-12-13T01:36:00Z</dcterms:modified>
</cp:coreProperties>
</file>